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9BE" w:rsidRPr="001459BE" w:rsidRDefault="001459BE" w:rsidP="001459BE">
      <w:pPr>
        <w:rPr>
          <w:rFonts w:ascii="Times New Roman" w:hAnsi="Times New Roman" w:cs="Times New Roman"/>
          <w:b/>
          <w:sz w:val="24"/>
          <w:szCs w:val="24"/>
          <w:lang w:val="en-US"/>
        </w:rPr>
      </w:pPr>
      <w:r w:rsidRPr="001459BE">
        <w:rPr>
          <w:rFonts w:ascii="Times New Roman" w:hAnsi="Times New Roman" w:cs="Times New Roman"/>
          <w:b/>
          <w:sz w:val="24"/>
          <w:szCs w:val="24"/>
          <w:lang w:val="en-US"/>
        </w:rPr>
        <w:t>Student’s Name</w:t>
      </w:r>
    </w:p>
    <w:p w:rsidR="001459BE" w:rsidRPr="001459BE" w:rsidRDefault="001459BE" w:rsidP="001459BE">
      <w:pPr>
        <w:rPr>
          <w:rFonts w:ascii="Times New Roman" w:hAnsi="Times New Roman" w:cs="Times New Roman"/>
          <w:b/>
          <w:sz w:val="24"/>
          <w:szCs w:val="24"/>
          <w:lang w:val="en-US"/>
        </w:rPr>
      </w:pPr>
      <w:r w:rsidRPr="001459BE">
        <w:rPr>
          <w:rFonts w:ascii="Times New Roman" w:hAnsi="Times New Roman" w:cs="Times New Roman"/>
          <w:b/>
          <w:sz w:val="24"/>
          <w:szCs w:val="24"/>
          <w:lang w:val="en-US"/>
        </w:rPr>
        <w:t>Professor’s Name</w:t>
      </w:r>
    </w:p>
    <w:p w:rsidR="001459BE" w:rsidRPr="001459BE" w:rsidRDefault="001459BE" w:rsidP="001459BE">
      <w:pPr>
        <w:rPr>
          <w:rFonts w:ascii="Times New Roman" w:hAnsi="Times New Roman" w:cs="Times New Roman"/>
          <w:b/>
          <w:sz w:val="24"/>
          <w:szCs w:val="24"/>
          <w:lang w:val="en-US"/>
        </w:rPr>
      </w:pPr>
      <w:r w:rsidRPr="001459BE">
        <w:rPr>
          <w:rFonts w:ascii="Times New Roman" w:hAnsi="Times New Roman" w:cs="Times New Roman"/>
          <w:b/>
          <w:sz w:val="24"/>
          <w:szCs w:val="24"/>
          <w:lang w:val="en-US"/>
        </w:rPr>
        <w:t>Course</w:t>
      </w:r>
    </w:p>
    <w:p w:rsidR="001459BE" w:rsidRPr="001459BE" w:rsidRDefault="001459BE" w:rsidP="001459BE">
      <w:pPr>
        <w:rPr>
          <w:rFonts w:ascii="Times New Roman" w:hAnsi="Times New Roman" w:cs="Times New Roman"/>
          <w:b/>
          <w:sz w:val="24"/>
          <w:szCs w:val="24"/>
          <w:lang w:val="en-US"/>
        </w:rPr>
      </w:pPr>
      <w:r w:rsidRPr="001459BE">
        <w:rPr>
          <w:rFonts w:ascii="Times New Roman" w:hAnsi="Times New Roman" w:cs="Times New Roman"/>
          <w:b/>
          <w:sz w:val="24"/>
          <w:szCs w:val="24"/>
          <w:lang w:val="en-US"/>
        </w:rPr>
        <w:t>Date</w:t>
      </w:r>
    </w:p>
    <w:p w:rsidR="001459BE" w:rsidRDefault="001459BE" w:rsidP="001459BE">
      <w:pPr>
        <w:rPr>
          <w:rFonts w:ascii="Times New Roman" w:hAnsi="Times New Roman" w:cs="Times New Roman"/>
          <w:b/>
          <w:sz w:val="24"/>
          <w:szCs w:val="24"/>
        </w:rPr>
      </w:pPr>
    </w:p>
    <w:p w:rsidR="001459BE" w:rsidRDefault="001459BE" w:rsidP="001459BE">
      <w:pPr>
        <w:rPr>
          <w:rFonts w:ascii="Times New Roman" w:hAnsi="Times New Roman" w:cs="Times New Roman"/>
          <w:b/>
          <w:sz w:val="24"/>
          <w:szCs w:val="24"/>
        </w:rPr>
      </w:pPr>
    </w:p>
    <w:p w:rsidR="001175A5" w:rsidRDefault="00A20CAA" w:rsidP="001459BE">
      <w:pPr>
        <w:rPr>
          <w:rFonts w:ascii="Times New Roman" w:hAnsi="Times New Roman" w:cs="Times New Roman"/>
          <w:b/>
          <w:sz w:val="24"/>
          <w:szCs w:val="24"/>
        </w:rPr>
      </w:pPr>
      <w:r>
        <w:rPr>
          <w:rFonts w:ascii="Times New Roman" w:hAnsi="Times New Roman" w:cs="Times New Roman"/>
          <w:b/>
          <w:sz w:val="24"/>
          <w:szCs w:val="24"/>
        </w:rPr>
        <w:t xml:space="preserve">The differences and similarities between Jay Wilds’ and Asia </w:t>
      </w:r>
      <w:r>
        <w:rPr>
          <w:rFonts w:ascii="Times New Roman" w:hAnsi="Times New Roman" w:cs="Times New Roman"/>
          <w:b/>
          <w:sz w:val="24"/>
          <w:szCs w:val="24"/>
        </w:rPr>
        <w:t>McClain’s testimonies to determine Adnan Syed case.</w:t>
      </w:r>
    </w:p>
    <w:p w:rsidR="001175A5" w:rsidRDefault="001459BE" w:rsidP="001459B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A20CAA">
        <w:rPr>
          <w:rFonts w:ascii="Times New Roman" w:hAnsi="Times New Roman" w:cs="Times New Roman"/>
          <w:sz w:val="24"/>
          <w:szCs w:val="24"/>
        </w:rPr>
        <w:t xml:space="preserve">The conviction of Adnan Syed in the year 1999 was not satisfying as a result of the gaps left in the evidences given. The decision making in the murder of Miss </w:t>
      </w:r>
      <w:proofErr w:type="spellStart"/>
      <w:r w:rsidR="00A20CAA">
        <w:rPr>
          <w:rFonts w:ascii="Times New Roman" w:hAnsi="Times New Roman" w:cs="Times New Roman"/>
          <w:sz w:val="24"/>
          <w:szCs w:val="24"/>
        </w:rPr>
        <w:t>Hae</w:t>
      </w:r>
      <w:proofErr w:type="spellEnd"/>
      <w:r w:rsidR="00A20CAA">
        <w:rPr>
          <w:rFonts w:ascii="Times New Roman" w:hAnsi="Times New Roman" w:cs="Times New Roman"/>
          <w:sz w:val="24"/>
          <w:szCs w:val="24"/>
        </w:rPr>
        <w:t xml:space="preserve"> Lee has been quite problematic over the </w:t>
      </w:r>
      <w:r w:rsidR="00A20CAA">
        <w:rPr>
          <w:rFonts w:ascii="Times New Roman" w:hAnsi="Times New Roman" w:cs="Times New Roman"/>
          <w:sz w:val="24"/>
          <w:szCs w:val="24"/>
        </w:rPr>
        <w:t>years. Following the chronological occurrence of events given by the various witnesses in the case has been challenging. The jury has had a hectic time trying to figure out the credibility in Jay and McClain’s statements. The resurrection of the case in 20</w:t>
      </w:r>
      <w:r w:rsidR="00A20CAA">
        <w:rPr>
          <w:rFonts w:ascii="Times New Roman" w:hAnsi="Times New Roman" w:cs="Times New Roman"/>
          <w:sz w:val="24"/>
          <w:szCs w:val="24"/>
        </w:rPr>
        <w:t>14 brought about so many questions that drew back to questioning the ruling of Adnan’s case. Following the statements by the key witnesses, McClain’s statements prove the innocence of the accused. This is because there is credibility in her evidences, ther</w:t>
      </w:r>
      <w:r w:rsidR="00A20CAA">
        <w:rPr>
          <w:rFonts w:ascii="Times New Roman" w:hAnsi="Times New Roman" w:cs="Times New Roman"/>
          <w:sz w:val="24"/>
          <w:szCs w:val="24"/>
        </w:rPr>
        <w:t>e is certainty in her statements and what she presents to the jury and also her timing is unquestionable. On the other hand, Jay’s statements may have some truth in them despite a few hiccups here and there. After a deeper look into this ca</w:t>
      </w:r>
      <w:r>
        <w:rPr>
          <w:rFonts w:ascii="Times New Roman" w:hAnsi="Times New Roman" w:cs="Times New Roman"/>
          <w:sz w:val="24"/>
          <w:szCs w:val="24"/>
        </w:rPr>
        <w:t>s</w:t>
      </w:r>
      <w:r w:rsidR="00A20CAA">
        <w:rPr>
          <w:rFonts w:ascii="Times New Roman" w:hAnsi="Times New Roman" w:cs="Times New Roman"/>
          <w:sz w:val="24"/>
          <w:szCs w:val="24"/>
        </w:rPr>
        <w:t>e</w:t>
      </w:r>
      <w:r>
        <w:rPr>
          <w:rFonts w:ascii="Times New Roman" w:hAnsi="Times New Roman" w:cs="Times New Roman"/>
          <w:sz w:val="24"/>
          <w:szCs w:val="24"/>
          <w:lang w:val="en-US"/>
        </w:rPr>
        <w:t xml:space="preserve"> has </w:t>
      </w:r>
      <w:r w:rsidR="00A20CAA">
        <w:rPr>
          <w:rFonts w:ascii="Times New Roman" w:hAnsi="Times New Roman" w:cs="Times New Roman"/>
          <w:sz w:val="24"/>
          <w:szCs w:val="24"/>
        </w:rPr>
        <w:t>a few differe</w:t>
      </w:r>
      <w:r w:rsidR="00A20CAA">
        <w:rPr>
          <w:rFonts w:ascii="Times New Roman" w:hAnsi="Times New Roman" w:cs="Times New Roman"/>
          <w:sz w:val="24"/>
          <w:szCs w:val="24"/>
        </w:rPr>
        <w:t>nces and similarities may lead to the release of Adnan.</w:t>
      </w:r>
    </w:p>
    <w:p w:rsidR="001175A5" w:rsidRDefault="001459BE" w:rsidP="001459B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A20CAA">
        <w:rPr>
          <w:rFonts w:ascii="Times New Roman" w:hAnsi="Times New Roman" w:cs="Times New Roman"/>
          <w:sz w:val="24"/>
          <w:szCs w:val="24"/>
        </w:rPr>
        <w:t>There is quite a huge variety of differences in the statements of both witnesses that makes the jury go back to the drawing board. There is no concrete physical evidence from Jay’s side that should pu</w:t>
      </w:r>
      <w:r w:rsidR="00A20CAA">
        <w:rPr>
          <w:rFonts w:ascii="Times New Roman" w:hAnsi="Times New Roman" w:cs="Times New Roman"/>
          <w:sz w:val="24"/>
          <w:szCs w:val="24"/>
        </w:rPr>
        <w:t>t Adnan behind bars. Jays talks of shovels and clothes that were used to bury Lee which was not handled by Adnan but by Jay himself. There is no certainty in this statement that Adnan was actually involved in burying the deceased because Jay was spotted mo</w:t>
      </w:r>
      <w:r w:rsidR="00A20CAA">
        <w:rPr>
          <w:rFonts w:ascii="Times New Roman" w:hAnsi="Times New Roman" w:cs="Times New Roman"/>
          <w:sz w:val="24"/>
          <w:szCs w:val="24"/>
        </w:rPr>
        <w:t>ving the shovels from his car, the more reason he should be among the suspects of Lee’s murder. On the other hand</w:t>
      </w:r>
      <w:r w:rsidR="00A20CAA">
        <w:rPr>
          <w:rFonts w:ascii="Times New Roman" w:hAnsi="Times New Roman" w:cs="Times New Roman"/>
          <w:sz w:val="24"/>
          <w:szCs w:val="24"/>
          <w:lang w:val="en-US"/>
        </w:rPr>
        <w:t>,</w:t>
      </w:r>
      <w:r w:rsidR="00A20CAA">
        <w:rPr>
          <w:rFonts w:ascii="Times New Roman" w:hAnsi="Times New Roman" w:cs="Times New Roman"/>
          <w:sz w:val="24"/>
          <w:szCs w:val="24"/>
        </w:rPr>
        <w:t xml:space="preserve"> McClain’s physical evidence is clear and precise since it is all narrowed down to letters that she wrote to Adnan. </w:t>
      </w:r>
    </w:p>
    <w:p w:rsidR="001175A5" w:rsidRDefault="00A20CAA">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other difference occu</w:t>
      </w:r>
      <w:r>
        <w:rPr>
          <w:rFonts w:ascii="Times New Roman" w:hAnsi="Times New Roman" w:cs="Times New Roman"/>
          <w:sz w:val="24"/>
          <w:szCs w:val="24"/>
        </w:rPr>
        <w:t>rs in the location of the crime scenes. Jay’s statements contradict themselves in several ways. He gives different locations in every statement that he gives making the exact location for the murder unknown. However</w:t>
      </w:r>
      <w:r>
        <w:rPr>
          <w:rFonts w:ascii="Times New Roman" w:hAnsi="Times New Roman" w:cs="Times New Roman"/>
          <w:sz w:val="24"/>
          <w:szCs w:val="24"/>
          <w:lang w:val="en-US"/>
        </w:rPr>
        <w:t>,</w:t>
      </w:r>
      <w:r>
        <w:rPr>
          <w:rFonts w:ascii="Times New Roman" w:hAnsi="Times New Roman" w:cs="Times New Roman"/>
          <w:sz w:val="24"/>
          <w:szCs w:val="24"/>
        </w:rPr>
        <w:t xml:space="preserve"> McClain’s statement tells </w:t>
      </w:r>
      <w:r>
        <w:rPr>
          <w:rFonts w:ascii="Times New Roman" w:hAnsi="Times New Roman" w:cs="Times New Roman"/>
          <w:sz w:val="24"/>
          <w:szCs w:val="24"/>
        </w:rPr>
        <w:lastRenderedPageBreak/>
        <w:t>us that Adnan</w:t>
      </w:r>
      <w:r>
        <w:rPr>
          <w:rFonts w:ascii="Times New Roman" w:hAnsi="Times New Roman" w:cs="Times New Roman"/>
          <w:sz w:val="24"/>
          <w:szCs w:val="24"/>
        </w:rPr>
        <w:t xml:space="preserve"> was at the library with her at the exact time of the murder which leaves the jury with question marks. </w:t>
      </w:r>
    </w:p>
    <w:p w:rsidR="001175A5" w:rsidRDefault="00A20CAA">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credibility in Jay’s statement is questionable as he is not sure of what he says. He also gives different statements in different interviews leavin</w:t>
      </w:r>
      <w:r>
        <w:rPr>
          <w:rFonts w:ascii="Times New Roman" w:hAnsi="Times New Roman" w:cs="Times New Roman"/>
          <w:sz w:val="24"/>
          <w:szCs w:val="24"/>
        </w:rPr>
        <w:t>g the investigators with incomplete and also biased information. All his statements keep changing from one interview to the other. McClain is a credible witness as she has a good explanation for every question asked and there is certainty in every statemen</w:t>
      </w:r>
      <w:r>
        <w:rPr>
          <w:rFonts w:ascii="Times New Roman" w:hAnsi="Times New Roman" w:cs="Times New Roman"/>
          <w:sz w:val="24"/>
          <w:szCs w:val="24"/>
        </w:rPr>
        <w:t>t given to the police. All her narrations are the same and there is not one single instance where here story changes.  She is quite sure of what she says and this makes the jury reconsider the hearing of Adnan’s case.</w:t>
      </w:r>
    </w:p>
    <w:p w:rsidR="001175A5" w:rsidRDefault="00A20CAA">
      <w:pPr>
        <w:spacing w:line="360" w:lineRule="auto"/>
        <w:ind w:firstLine="720"/>
        <w:rPr>
          <w:rFonts w:ascii="Times New Roman" w:hAnsi="Times New Roman" w:cs="Times New Roman"/>
          <w:sz w:val="24"/>
          <w:szCs w:val="24"/>
        </w:rPr>
      </w:pPr>
      <w:r>
        <w:rPr>
          <w:rFonts w:ascii="Times New Roman" w:hAnsi="Times New Roman" w:cs="Times New Roman"/>
          <w:sz w:val="24"/>
          <w:szCs w:val="24"/>
        </w:rPr>
        <w:t>It is quite evident that in the previo</w:t>
      </w:r>
      <w:r>
        <w:rPr>
          <w:rFonts w:ascii="Times New Roman" w:hAnsi="Times New Roman" w:cs="Times New Roman"/>
          <w:sz w:val="24"/>
          <w:szCs w:val="24"/>
        </w:rPr>
        <w:t xml:space="preserve">us hearings of Adnan’s case, there was some form of prejudice. This is because Jay Wilds’ evidence was the </w:t>
      </w:r>
      <w:r w:rsidR="001459BE">
        <w:rPr>
          <w:rFonts w:ascii="Times New Roman" w:hAnsi="Times New Roman" w:cs="Times New Roman"/>
          <w:sz w:val="24"/>
          <w:szCs w:val="24"/>
        </w:rPr>
        <w:t>centrepiece</w:t>
      </w:r>
      <w:r>
        <w:rPr>
          <w:rFonts w:ascii="Times New Roman" w:hAnsi="Times New Roman" w:cs="Times New Roman"/>
          <w:sz w:val="24"/>
          <w:szCs w:val="24"/>
        </w:rPr>
        <w:t xml:space="preserve"> of the whole hearing and a second party was therefore not considered for the case to be settled. This proves that McClain was not a consi</w:t>
      </w:r>
      <w:r>
        <w:rPr>
          <w:rFonts w:ascii="Times New Roman" w:hAnsi="Times New Roman" w:cs="Times New Roman"/>
          <w:sz w:val="24"/>
          <w:szCs w:val="24"/>
        </w:rPr>
        <w:t>dered witness in the previous hearings. It is clear that there was no pressure applied to the letters that were written by McClain and that is why she was never called to testify.</w:t>
      </w:r>
    </w:p>
    <w:p w:rsidR="001175A5" w:rsidRDefault="00A20CA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Jay’s offered himself as a witness against Adnan just because of his selfish interest. He was well aware that the police could have considered him as a potential suspect that’s why his statements were not precise. He purposely lied to be on the safe side. </w:t>
      </w:r>
      <w:r>
        <w:rPr>
          <w:rFonts w:ascii="Times New Roman" w:hAnsi="Times New Roman" w:cs="Times New Roman"/>
          <w:sz w:val="24"/>
          <w:szCs w:val="24"/>
        </w:rPr>
        <w:t>Him being a witness was all for his selfish interests. McClain’s case was however different. She came out as a witness because she wanted to fight for justice. She claimed that she wanted to show her children that she is a strong woman. This completely sho</w:t>
      </w:r>
      <w:r>
        <w:rPr>
          <w:rFonts w:ascii="Times New Roman" w:hAnsi="Times New Roman" w:cs="Times New Roman"/>
          <w:sz w:val="24"/>
          <w:szCs w:val="24"/>
        </w:rPr>
        <w:t xml:space="preserve">ws that Adnan had a right to face the jury once more to prove his innocence. </w:t>
      </w:r>
    </w:p>
    <w:p w:rsidR="001175A5" w:rsidRDefault="00A20CAA">
      <w:pPr>
        <w:spacing w:line="360" w:lineRule="auto"/>
        <w:ind w:firstLine="720"/>
        <w:rPr>
          <w:rFonts w:ascii="Times New Roman" w:hAnsi="Times New Roman" w:cs="Times New Roman"/>
          <w:sz w:val="24"/>
          <w:szCs w:val="24"/>
        </w:rPr>
      </w:pPr>
      <w:r>
        <w:rPr>
          <w:rFonts w:ascii="Times New Roman" w:hAnsi="Times New Roman" w:cs="Times New Roman"/>
          <w:sz w:val="24"/>
          <w:szCs w:val="24"/>
        </w:rPr>
        <w:t>However, despite all those differences, a few similarities made the case a bit difficult to rule. From both sides than of the statements was heavy enough to provide good evidence</w:t>
      </w:r>
      <w:r>
        <w:rPr>
          <w:rFonts w:ascii="Times New Roman" w:hAnsi="Times New Roman" w:cs="Times New Roman"/>
          <w:sz w:val="24"/>
          <w:szCs w:val="24"/>
        </w:rPr>
        <w:t xml:space="preserve"> for the conviction or release of Adnan. It is said that Adnan did not leave campus </w:t>
      </w:r>
      <w:proofErr w:type="spellStart"/>
      <w:r>
        <w:rPr>
          <w:rFonts w:ascii="Times New Roman" w:hAnsi="Times New Roman" w:cs="Times New Roman"/>
          <w:sz w:val="24"/>
          <w:szCs w:val="24"/>
        </w:rPr>
        <w:t>duringt</w:t>
      </w:r>
      <w:proofErr w:type="spellEnd"/>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rPr>
        <w:t>ime</w:t>
      </w:r>
      <w:proofErr w:type="spellEnd"/>
      <w:r>
        <w:rPr>
          <w:rFonts w:ascii="Times New Roman" w:hAnsi="Times New Roman" w:cs="Times New Roman"/>
          <w:sz w:val="24"/>
          <w:szCs w:val="24"/>
        </w:rPr>
        <w:t xml:space="preserve"> of murder as per McClain but then the library is sort of off-campus leaving a huge debate. The other debatable thing about both Jay and McClain’s is that the</w:t>
      </w:r>
      <w:r>
        <w:rPr>
          <w:rFonts w:ascii="Times New Roman" w:hAnsi="Times New Roman" w:cs="Times New Roman"/>
          <w:sz w:val="24"/>
          <w:szCs w:val="24"/>
        </w:rPr>
        <w:t>y have never been seen together at the same time. Might Jay be posing as McClain to cover up himself on things he might have lied about?</w:t>
      </w:r>
    </w:p>
    <w:p w:rsidR="001175A5" w:rsidRDefault="00A20CA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Gathering all possible evidences and joining the dots McClain’s part of the story should be considered as much for the </w:t>
      </w:r>
      <w:r>
        <w:rPr>
          <w:rFonts w:ascii="Times New Roman" w:hAnsi="Times New Roman" w:cs="Times New Roman"/>
          <w:sz w:val="24"/>
          <w:szCs w:val="24"/>
        </w:rPr>
        <w:t>release of the accused.</w:t>
      </w:r>
    </w:p>
    <w:p w:rsidR="001175A5" w:rsidRDefault="001175A5">
      <w:pPr>
        <w:rPr>
          <w:rFonts w:ascii="Times New Roman" w:hAnsi="Times New Roman" w:cs="Times New Roman"/>
          <w:sz w:val="24"/>
          <w:szCs w:val="24"/>
        </w:rPr>
      </w:pPr>
    </w:p>
    <w:p w:rsidR="001175A5" w:rsidRDefault="00A20CAA">
      <w:pPr>
        <w:rPr>
          <w:rFonts w:ascii="Times New Roman" w:hAnsi="Times New Roman" w:cs="Times New Roman"/>
          <w:sz w:val="24"/>
          <w:szCs w:val="24"/>
        </w:rPr>
      </w:pPr>
      <w:bookmarkStart w:id="0" w:name="_GoBack"/>
      <w:bookmarkEnd w:id="0"/>
      <w:r>
        <w:rPr>
          <w:rFonts w:ascii="Times New Roman" w:hAnsi="Times New Roman" w:cs="Times New Roman"/>
          <w:sz w:val="24"/>
          <w:szCs w:val="24"/>
        </w:rPr>
        <w:t>Stanley, Sandra. Convicting Narratives in NPR’s Serial. The “Serial” Podcast and Storytelling in the Digital Age 78-92</w:t>
      </w:r>
      <w:proofErr w:type="gramStart"/>
      <w:r>
        <w:rPr>
          <w:rFonts w:ascii="Times New Roman" w:hAnsi="Times New Roman" w:cs="Times New Roman"/>
          <w:sz w:val="24"/>
          <w:szCs w:val="24"/>
        </w:rPr>
        <w:t>,2017</w:t>
      </w:r>
      <w:proofErr w:type="gramEnd"/>
      <w:r>
        <w:rPr>
          <w:rFonts w:ascii="Times New Roman" w:hAnsi="Times New Roman" w:cs="Times New Roman"/>
          <w:sz w:val="24"/>
          <w:szCs w:val="24"/>
        </w:rPr>
        <w:t>.</w:t>
      </w:r>
    </w:p>
    <w:p w:rsidR="001175A5" w:rsidRDefault="00A20CAA">
      <w:pPr>
        <w:rPr>
          <w:rFonts w:ascii="Times New Roman" w:hAnsi="Times New Roman" w:cs="Times New Roman"/>
          <w:sz w:val="24"/>
          <w:szCs w:val="24"/>
        </w:rPr>
      </w:pPr>
      <w:r>
        <w:rPr>
          <w:rFonts w:ascii="Times New Roman" w:hAnsi="Times New Roman" w:cs="Times New Roman"/>
          <w:sz w:val="24"/>
          <w:szCs w:val="24"/>
        </w:rPr>
        <w:t>Yardley, Elizabeth. Secondary victims of homicide in newer media. Victims &amp; Offenders 12(3), 2017.</w:t>
      </w:r>
    </w:p>
    <w:p w:rsidR="001175A5" w:rsidRDefault="00A20CAA">
      <w:pPr>
        <w:rPr>
          <w:rFonts w:ascii="Times New Roman" w:hAnsi="Times New Roman" w:cs="Times New Roman"/>
          <w:sz w:val="24"/>
          <w:szCs w:val="24"/>
        </w:rPr>
      </w:pPr>
      <w:proofErr w:type="spellStart"/>
      <w:r>
        <w:rPr>
          <w:rFonts w:ascii="Times New Roman" w:hAnsi="Times New Roman" w:cs="Times New Roman"/>
          <w:sz w:val="24"/>
          <w:szCs w:val="24"/>
        </w:rPr>
        <w:t>Lustb</w:t>
      </w:r>
      <w:r>
        <w:rPr>
          <w:rFonts w:ascii="Times New Roman" w:hAnsi="Times New Roman" w:cs="Times New Roman"/>
          <w:sz w:val="24"/>
          <w:szCs w:val="24"/>
        </w:rPr>
        <w:t>erg</w:t>
      </w:r>
      <w:proofErr w:type="spellEnd"/>
      <w:r>
        <w:rPr>
          <w:rFonts w:ascii="Times New Roman" w:hAnsi="Times New Roman" w:cs="Times New Roman"/>
          <w:sz w:val="24"/>
          <w:szCs w:val="24"/>
        </w:rPr>
        <w:t>, Lawrence.  A critique of the Appellate Division Decision in State v. McClain. Seton Hall L. Rev 22</w:t>
      </w:r>
      <w:proofErr w:type="gramStart"/>
      <w:r>
        <w:rPr>
          <w:rFonts w:ascii="Times New Roman" w:hAnsi="Times New Roman" w:cs="Times New Roman"/>
          <w:sz w:val="24"/>
          <w:szCs w:val="24"/>
        </w:rPr>
        <w:t>,1991</w:t>
      </w:r>
      <w:proofErr w:type="gramEnd"/>
      <w:r>
        <w:rPr>
          <w:rFonts w:ascii="Times New Roman" w:hAnsi="Times New Roman" w:cs="Times New Roman"/>
          <w:sz w:val="24"/>
          <w:szCs w:val="24"/>
        </w:rPr>
        <w:t>.</w:t>
      </w:r>
    </w:p>
    <w:p w:rsidR="001175A5" w:rsidRDefault="00A20CAA">
      <w:pPr>
        <w:rPr>
          <w:rFonts w:ascii="Times New Roman" w:hAnsi="Times New Roman" w:cs="Times New Roman"/>
          <w:sz w:val="24"/>
          <w:szCs w:val="24"/>
        </w:rPr>
      </w:pPr>
      <w:r>
        <w:rPr>
          <w:rFonts w:ascii="Times New Roman" w:hAnsi="Times New Roman" w:cs="Times New Roman"/>
          <w:sz w:val="24"/>
          <w:szCs w:val="24"/>
        </w:rPr>
        <w:t>Pace, Christopher. The Eleventh Circuit Construct. Am. J. Trial Advoc.37, 2013.</w:t>
      </w:r>
    </w:p>
    <w:p w:rsidR="001175A5" w:rsidRDefault="00A20CAA">
      <w:pPr>
        <w:rPr>
          <w:rFonts w:ascii="Times New Roman" w:hAnsi="Times New Roman" w:cs="Times New Roman"/>
          <w:sz w:val="24"/>
          <w:szCs w:val="24"/>
        </w:rPr>
      </w:pPr>
      <w:proofErr w:type="spellStart"/>
      <w:r>
        <w:rPr>
          <w:rFonts w:ascii="Times New Roman" w:hAnsi="Times New Roman" w:cs="Times New Roman"/>
          <w:sz w:val="24"/>
          <w:szCs w:val="24"/>
        </w:rPr>
        <w:t>Paquet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Lili</w:t>
      </w:r>
      <w:proofErr w:type="spellEnd"/>
      <w:r>
        <w:rPr>
          <w:rFonts w:ascii="Times New Roman" w:hAnsi="Times New Roman" w:cs="Times New Roman"/>
          <w:sz w:val="24"/>
          <w:szCs w:val="24"/>
        </w:rPr>
        <w:t xml:space="preserve">. Maps, emotional assent, and rhetorical space in </w:t>
      </w:r>
      <w:r>
        <w:rPr>
          <w:rFonts w:ascii="Times New Roman" w:hAnsi="Times New Roman" w:cs="Times New Roman"/>
          <w:i/>
          <w:sz w:val="24"/>
          <w:szCs w:val="24"/>
        </w:rPr>
        <w:t>Seri</w:t>
      </w:r>
      <w:r>
        <w:rPr>
          <w:rFonts w:ascii="Times New Roman" w:hAnsi="Times New Roman" w:cs="Times New Roman"/>
          <w:i/>
          <w:sz w:val="24"/>
          <w:szCs w:val="24"/>
        </w:rPr>
        <w:t xml:space="preserve">al </w:t>
      </w:r>
      <w:r>
        <w:rPr>
          <w:rFonts w:ascii="Times New Roman" w:hAnsi="Times New Roman" w:cs="Times New Roman"/>
          <w:sz w:val="24"/>
          <w:szCs w:val="24"/>
        </w:rPr>
        <w:t xml:space="preserve">and </w:t>
      </w:r>
      <w:r>
        <w:rPr>
          <w:rFonts w:ascii="Times New Roman" w:hAnsi="Times New Roman" w:cs="Times New Roman"/>
          <w:i/>
          <w:sz w:val="24"/>
          <w:szCs w:val="24"/>
        </w:rPr>
        <w:t xml:space="preserve">Making </w:t>
      </w:r>
      <w:r>
        <w:rPr>
          <w:rFonts w:ascii="Times New Roman" w:hAnsi="Times New Roman" w:cs="Times New Roman"/>
          <w:sz w:val="24"/>
          <w:szCs w:val="24"/>
        </w:rPr>
        <w:t xml:space="preserve">a </w:t>
      </w:r>
      <w:r>
        <w:rPr>
          <w:rFonts w:ascii="Times New Roman" w:hAnsi="Times New Roman" w:cs="Times New Roman"/>
          <w:i/>
          <w:sz w:val="24"/>
          <w:szCs w:val="24"/>
        </w:rPr>
        <w:t xml:space="preserve">Murderer. </w:t>
      </w:r>
      <w:r>
        <w:rPr>
          <w:rFonts w:ascii="Times New Roman" w:hAnsi="Times New Roman" w:cs="Times New Roman"/>
          <w:sz w:val="24"/>
          <w:szCs w:val="24"/>
        </w:rPr>
        <w:t>Law and Humanities 12(1), 2018.</w:t>
      </w:r>
    </w:p>
    <w:p w:rsidR="001175A5" w:rsidRDefault="00A20CAA">
      <w:pPr>
        <w:rPr>
          <w:rFonts w:ascii="Times New Roman" w:hAnsi="Times New Roman" w:cs="Times New Roman"/>
          <w:sz w:val="24"/>
          <w:szCs w:val="24"/>
        </w:rPr>
      </w:pPr>
      <w:proofErr w:type="spellStart"/>
      <w:r>
        <w:rPr>
          <w:rFonts w:ascii="Times New Roman" w:hAnsi="Times New Roman" w:cs="Times New Roman"/>
          <w:sz w:val="24"/>
          <w:szCs w:val="24"/>
        </w:rPr>
        <w:t>Jaeckel</w:t>
      </w:r>
      <w:proofErr w:type="spellEnd"/>
      <w:r>
        <w:rPr>
          <w:rFonts w:ascii="Times New Roman" w:hAnsi="Times New Roman" w:cs="Times New Roman"/>
          <w:sz w:val="24"/>
          <w:szCs w:val="24"/>
        </w:rPr>
        <w:t>, Shannon. Reforming the Standard to Reflect Modern Privacy Expectations. La. L. Rev 77, 2016</w:t>
      </w:r>
    </w:p>
    <w:p w:rsidR="001175A5" w:rsidRDefault="00A20CAA">
      <w:pPr>
        <w:rPr>
          <w:rFonts w:ascii="Times New Roman" w:hAnsi="Times New Roman" w:cs="Times New Roman"/>
          <w:sz w:val="24"/>
          <w:szCs w:val="24"/>
        </w:rPr>
      </w:pPr>
      <w:r>
        <w:rPr>
          <w:rFonts w:ascii="Times New Roman" w:hAnsi="Times New Roman" w:cs="Times New Roman"/>
          <w:sz w:val="24"/>
          <w:szCs w:val="24"/>
        </w:rPr>
        <w:t>O’Meara, Jennifer. Media convergence and the Serial podcast sensation. Frames Cinema Journal 8, 2</w:t>
      </w:r>
      <w:r>
        <w:rPr>
          <w:rFonts w:ascii="Times New Roman" w:hAnsi="Times New Roman" w:cs="Times New Roman"/>
          <w:sz w:val="24"/>
          <w:szCs w:val="24"/>
        </w:rPr>
        <w:t>015.</w:t>
      </w:r>
    </w:p>
    <w:p w:rsidR="001175A5" w:rsidRDefault="00A20CAA">
      <w:pPr>
        <w:rPr>
          <w:rFonts w:ascii="Times New Roman" w:hAnsi="Times New Roman" w:cs="Times New Roman"/>
          <w:sz w:val="24"/>
          <w:szCs w:val="24"/>
        </w:rPr>
      </w:pPr>
      <w:r>
        <w:rPr>
          <w:rFonts w:ascii="Times New Roman" w:hAnsi="Times New Roman" w:cs="Times New Roman"/>
          <w:sz w:val="24"/>
          <w:szCs w:val="24"/>
        </w:rPr>
        <w:t xml:space="preserve">Marks, Demi. </w:t>
      </w:r>
      <w:proofErr w:type="spellStart"/>
      <w:r>
        <w:rPr>
          <w:rFonts w:ascii="Times New Roman" w:hAnsi="Times New Roman" w:cs="Times New Roman"/>
          <w:sz w:val="24"/>
          <w:szCs w:val="24"/>
        </w:rPr>
        <w:t>Redifining</w:t>
      </w:r>
      <w:proofErr w:type="spellEnd"/>
      <w:r>
        <w:rPr>
          <w:rFonts w:ascii="Times New Roman" w:hAnsi="Times New Roman" w:cs="Times New Roman"/>
          <w:sz w:val="24"/>
          <w:szCs w:val="24"/>
        </w:rPr>
        <w:t xml:space="preserve"> Privacy </w:t>
      </w:r>
      <w:proofErr w:type="gramStart"/>
      <w:r>
        <w:rPr>
          <w:rFonts w:ascii="Times New Roman" w:hAnsi="Times New Roman" w:cs="Times New Roman"/>
          <w:sz w:val="24"/>
          <w:szCs w:val="24"/>
        </w:rPr>
        <w:t>Through</w:t>
      </w:r>
      <w:proofErr w:type="gramEnd"/>
      <w:r>
        <w:rPr>
          <w:rFonts w:ascii="Times New Roman" w:hAnsi="Times New Roman" w:cs="Times New Roman"/>
          <w:sz w:val="24"/>
          <w:szCs w:val="24"/>
        </w:rPr>
        <w:t xml:space="preserve"> an American Right to </w:t>
      </w:r>
      <w:proofErr w:type="spellStart"/>
      <w:r>
        <w:rPr>
          <w:rFonts w:ascii="Times New Roman" w:hAnsi="Times New Roman" w:cs="Times New Roman"/>
          <w:sz w:val="24"/>
          <w:szCs w:val="24"/>
        </w:rPr>
        <w:t>Bbe</w:t>
      </w:r>
      <w:proofErr w:type="spellEnd"/>
      <w:r>
        <w:rPr>
          <w:rFonts w:ascii="Times New Roman" w:hAnsi="Times New Roman" w:cs="Times New Roman"/>
          <w:sz w:val="24"/>
          <w:szCs w:val="24"/>
        </w:rPr>
        <w:t xml:space="preserve"> Forgotten. UCLA Entertainment Law Review 23(1), 2016.</w:t>
      </w:r>
    </w:p>
    <w:p w:rsidR="001175A5" w:rsidRDefault="00A20CAA">
      <w:pPr>
        <w:rPr>
          <w:rFonts w:ascii="Times New Roman" w:hAnsi="Times New Roman" w:cs="Times New Roman"/>
          <w:sz w:val="24"/>
          <w:szCs w:val="24"/>
        </w:rPr>
      </w:pPr>
      <w:r>
        <w:rPr>
          <w:rFonts w:ascii="Times New Roman" w:hAnsi="Times New Roman" w:cs="Times New Roman"/>
          <w:sz w:val="24"/>
          <w:szCs w:val="24"/>
        </w:rPr>
        <w:t xml:space="preserve">Klein, </w:t>
      </w:r>
      <w:proofErr w:type="spellStart"/>
      <w:r>
        <w:rPr>
          <w:rFonts w:ascii="Times New Roman" w:hAnsi="Times New Roman" w:cs="Times New Roman"/>
          <w:sz w:val="24"/>
          <w:szCs w:val="24"/>
        </w:rPr>
        <w:t>Maury</w:t>
      </w:r>
      <w:proofErr w:type="spellEnd"/>
      <w:r>
        <w:rPr>
          <w:rFonts w:ascii="Times New Roman" w:hAnsi="Times New Roman" w:cs="Times New Roman"/>
          <w:sz w:val="24"/>
          <w:szCs w:val="24"/>
        </w:rPr>
        <w:t>. The life and legend of Jay Gould. JHU Press, 1997.</w:t>
      </w:r>
    </w:p>
    <w:p w:rsidR="001175A5" w:rsidRDefault="00A20CAA">
      <w:pPr>
        <w:rPr>
          <w:rFonts w:ascii="Times New Roman" w:hAnsi="Times New Roman" w:cs="Times New Roman"/>
          <w:sz w:val="24"/>
          <w:szCs w:val="24"/>
        </w:rPr>
      </w:pPr>
      <w:r>
        <w:rPr>
          <w:rFonts w:ascii="Times New Roman" w:hAnsi="Times New Roman" w:cs="Times New Roman"/>
          <w:sz w:val="24"/>
          <w:szCs w:val="24"/>
        </w:rPr>
        <w:t>Jay, William. The life of Jay. J. &amp; J. Harper, 1833.</w:t>
      </w:r>
    </w:p>
    <w:sectPr w:rsidR="001175A5">
      <w:headerReference w:type="default" r:id="rId6"/>
      <w:pgSz w:w="11906" w:h="16838"/>
      <w:pgMar w:top="624"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CAA" w:rsidRDefault="00A20CAA">
      <w:pPr>
        <w:spacing w:after="0" w:line="240" w:lineRule="auto"/>
      </w:pPr>
      <w:r>
        <w:separator/>
      </w:r>
    </w:p>
  </w:endnote>
  <w:endnote w:type="continuationSeparator" w:id="0">
    <w:p w:rsidR="00A20CAA" w:rsidRDefault="00A20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CAA" w:rsidRDefault="00A20CAA">
      <w:pPr>
        <w:spacing w:after="0" w:line="240" w:lineRule="auto"/>
      </w:pPr>
      <w:r>
        <w:separator/>
      </w:r>
    </w:p>
  </w:footnote>
  <w:footnote w:type="continuationSeparator" w:id="0">
    <w:p w:rsidR="00A20CAA" w:rsidRDefault="00A20C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75A5" w:rsidRDefault="001459BE">
    <w:pPr>
      <w:pStyle w:val="Header"/>
    </w:pPr>
    <w:r>
      <w:t xml:space="preserve">                                   </w:t>
    </w:r>
    <w:r w:rsidR="00A20CAA">
      <w:t xml:space="preserve">                                                                                                                   SIR NAME  </w:t>
    </w:r>
  </w:p>
  <w:p w:rsidR="001175A5" w:rsidRDefault="001175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5A5"/>
    <w:rsid w:val="001175A5"/>
    <w:rsid w:val="001459BE"/>
    <w:rsid w:val="00A20C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B920CA-D2AD-4F70-A547-C08339CB3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Calibri" w:hAnsi="Calibri" w:cs="SimSun"/>
    </w:rPr>
  </w:style>
  <w:style w:type="paragraph" w:styleId="Footer">
    <w:name w:val="footer"/>
    <w:basedOn w:val="Normal"/>
    <w:link w:val="FooterChar"/>
    <w:uiPriority w:val="99"/>
    <w:unhideWhenUsed/>
    <w:rsid w:val="00145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Fei</dc:creator>
  <cp:lastModifiedBy>amo</cp:lastModifiedBy>
  <cp:revision>2</cp:revision>
  <dcterms:created xsi:type="dcterms:W3CDTF">2019-04-01T03:46:00Z</dcterms:created>
  <dcterms:modified xsi:type="dcterms:W3CDTF">2019-04-01T03:46:00Z</dcterms:modified>
</cp:coreProperties>
</file>